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36" w:rsidRPr="007E2DE2" w:rsidRDefault="00C66E42" w:rsidP="0055285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66E42">
        <w:rPr>
          <w:rFonts w:ascii="標楷體" w:eastAsia="標楷體" w:hAnsi="標楷體" w:hint="eastAsia"/>
          <w:b/>
          <w:sz w:val="44"/>
          <w:szCs w:val="44"/>
        </w:rPr>
        <w:t>金管會「</w:t>
      </w:r>
      <w:r w:rsidRPr="00C66E42">
        <w:rPr>
          <w:rFonts w:ascii="標楷體" w:eastAsia="標楷體" w:hAnsi="標楷體"/>
          <w:b/>
          <w:sz w:val="44"/>
          <w:szCs w:val="44"/>
        </w:rPr>
        <w:t>ETF</w:t>
      </w:r>
      <w:r w:rsidRPr="00C66E42">
        <w:rPr>
          <w:rFonts w:ascii="標楷體" w:eastAsia="標楷體" w:hAnsi="標楷體" w:hint="eastAsia"/>
          <w:b/>
          <w:sz w:val="44"/>
          <w:szCs w:val="44"/>
        </w:rPr>
        <w:t>採用收益平準金配息｣宣導</w:t>
      </w:r>
    </w:p>
    <w:p w:rsidR="004E0436" w:rsidRPr="007E2DE2" w:rsidRDefault="004E0436" w:rsidP="004E043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C7870" w:rsidRDefault="00C66E42" w:rsidP="00C66E42">
      <w:pPr>
        <w:jc w:val="both"/>
        <w:rPr>
          <w:rFonts w:ascii="標楷體" w:eastAsia="標楷體" w:hAnsi="標楷體" w:cs="Microsoft YaHei"/>
          <w:color w:val="000000" w:themeColor="text1"/>
          <w:sz w:val="32"/>
          <w:szCs w:val="32"/>
        </w:rPr>
      </w:pP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金融監督管理委員會於112年11月13日以金管證投字第1120358072號函(下稱金管會112年11月13日函)規範ETF採用收益平準金配息使用原則，主要目的在於避免投信事業過度配發收益平準金。</w:t>
      </w: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中華民國證券投資信託暨顧問商業同業公會</w:t>
      </w: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並於114年7月4日訂定發布「ETF採用收益平準金作為收益分配來源實務指引」，旨在促使</w:t>
      </w:r>
      <w:bookmarkStart w:id="0" w:name="_GoBack"/>
      <w:bookmarkEnd w:id="0"/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投信業者遵循金管會112年11月13日函之規範，並未限制高股息ETF不得配發資本利得，為利投資人正確認知相關規範，</w:t>
      </w: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特此</w:t>
      </w: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教育宣導，以利投資人充分瞭解。</w:t>
      </w:r>
    </w:p>
    <w:p w:rsidR="00C66E42" w:rsidRDefault="00C66E42" w:rsidP="00C66E42">
      <w:pPr>
        <w:jc w:val="both"/>
        <w:rPr>
          <w:rFonts w:ascii="標楷體" w:eastAsia="標楷體" w:hAnsi="標楷體" w:cs="Microsoft YaHei"/>
          <w:color w:val="000000" w:themeColor="text1"/>
          <w:sz w:val="32"/>
          <w:szCs w:val="32"/>
        </w:rPr>
      </w:pPr>
    </w:p>
    <w:p w:rsidR="00C66E42" w:rsidRPr="00C66E42" w:rsidRDefault="00C66E42" w:rsidP="00C66E42">
      <w:pPr>
        <w:pStyle w:val="a5"/>
        <w:numPr>
          <w:ilvl w:val="0"/>
          <w:numId w:val="5"/>
        </w:numPr>
        <w:ind w:leftChars="0"/>
        <w:jc w:val="both"/>
        <w:rPr>
          <w:rFonts w:ascii="標楷體" w:eastAsia="標楷體" w:hAnsi="標楷體" w:cs="Microsoft YaHei"/>
          <w:color w:val="000000" w:themeColor="text1"/>
          <w:sz w:val="32"/>
          <w:szCs w:val="32"/>
        </w:rPr>
      </w:pPr>
      <w:r w:rsidRPr="00C66E42">
        <w:rPr>
          <w:rFonts w:ascii="標楷體" w:eastAsia="標楷體" w:hAnsi="標楷體" w:cs="Microsoft YaHei" w:hint="eastAsia"/>
          <w:color w:val="000000" w:themeColor="text1"/>
          <w:sz w:val="32"/>
          <w:szCs w:val="32"/>
        </w:rPr>
        <w:t>「ETF採用收益平準金作為收益分配來源實務指引」</w:t>
      </w:r>
    </w:p>
    <w:p w:rsidR="00C66E42" w:rsidRDefault="00C66E42" w:rsidP="00C66E42">
      <w:pPr>
        <w:jc w:val="both"/>
        <w:rPr>
          <w:rFonts w:ascii="標楷體" w:eastAsia="標楷體" w:hAnsi="標楷體" w:cs="Microsoft YaHei"/>
          <w:color w:val="000000" w:themeColor="text1"/>
          <w:sz w:val="32"/>
          <w:szCs w:val="32"/>
        </w:rPr>
      </w:pPr>
      <w:r>
        <w:object w:dxaOrig="1534" w:dyaOrig="1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7pt;height:52.35pt" o:ole="">
            <v:imagedata r:id="rId8" o:title=""/>
          </v:shape>
          <o:OLEObject Type="Embed" ProgID="AcroExch.Document.DC" ShapeID="_x0000_i1029" DrawAspect="Icon" ObjectID="_1817879454" r:id="rId9"/>
        </w:object>
      </w:r>
    </w:p>
    <w:p w:rsidR="00C66E42" w:rsidRPr="00C66E42" w:rsidRDefault="00C66E42" w:rsidP="00C66E42">
      <w:pPr>
        <w:jc w:val="both"/>
        <w:rPr>
          <w:rFonts w:ascii="標楷體" w:eastAsia="標楷體" w:hAnsi="標楷體" w:hint="eastAsia"/>
        </w:rPr>
      </w:pPr>
    </w:p>
    <w:sectPr w:rsidR="00C66E42" w:rsidRPr="00C66E42" w:rsidSect="00C66E42">
      <w:pgSz w:w="11906" w:h="16838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70" w:rsidRDefault="00AC7870" w:rsidP="00AC7870">
      <w:r>
        <w:separator/>
      </w:r>
    </w:p>
  </w:endnote>
  <w:endnote w:type="continuationSeparator" w:id="0">
    <w:p w:rsidR="00AC7870" w:rsidRDefault="00AC7870" w:rsidP="00A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70" w:rsidRDefault="00AC7870" w:rsidP="00AC7870">
      <w:r>
        <w:separator/>
      </w:r>
    </w:p>
  </w:footnote>
  <w:footnote w:type="continuationSeparator" w:id="0">
    <w:p w:rsidR="00AC7870" w:rsidRDefault="00AC7870" w:rsidP="00AC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32C"/>
    <w:multiLevelType w:val="hybridMultilevel"/>
    <w:tmpl w:val="4D7A94D6"/>
    <w:lvl w:ilvl="0" w:tplc="0409000B">
      <w:start w:val="1"/>
      <w:numFmt w:val="bullet"/>
      <w:lvlText w:val=""/>
      <w:lvlJc w:val="left"/>
      <w:pPr>
        <w:ind w:left="11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8" w:hanging="480"/>
      </w:pPr>
      <w:rPr>
        <w:rFonts w:ascii="Wingdings" w:hAnsi="Wingdings" w:hint="default"/>
      </w:rPr>
    </w:lvl>
  </w:abstractNum>
  <w:abstractNum w:abstractNumId="1" w15:restartNumberingAfterBreak="0">
    <w:nsid w:val="154A5B26"/>
    <w:multiLevelType w:val="hybridMultilevel"/>
    <w:tmpl w:val="0A8E3B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F4D0BA3"/>
    <w:multiLevelType w:val="hybridMultilevel"/>
    <w:tmpl w:val="294ED994"/>
    <w:lvl w:ilvl="0" w:tplc="2D0807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564537"/>
    <w:multiLevelType w:val="hybridMultilevel"/>
    <w:tmpl w:val="2CD0B6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AB5612E"/>
    <w:multiLevelType w:val="hybridMultilevel"/>
    <w:tmpl w:val="6AD631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54"/>
    <w:rsid w:val="00096F5B"/>
    <w:rsid w:val="001411D9"/>
    <w:rsid w:val="00384143"/>
    <w:rsid w:val="00420B6A"/>
    <w:rsid w:val="004E0436"/>
    <w:rsid w:val="00552854"/>
    <w:rsid w:val="007747E6"/>
    <w:rsid w:val="007E2DE2"/>
    <w:rsid w:val="00AC7870"/>
    <w:rsid w:val="00B96EA4"/>
    <w:rsid w:val="00C66E42"/>
    <w:rsid w:val="00C75CEE"/>
    <w:rsid w:val="00D6266B"/>
    <w:rsid w:val="00D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CC795D"/>
  <w15:docId w15:val="{FD7DD147-2A3F-431D-A431-A86A656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28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E0436"/>
    <w:pPr>
      <w:ind w:leftChars="200" w:left="480"/>
    </w:pPr>
  </w:style>
  <w:style w:type="character" w:styleId="a6">
    <w:name w:val="Hyperlink"/>
    <w:basedOn w:val="a0"/>
    <w:uiPriority w:val="99"/>
    <w:unhideWhenUsed/>
    <w:rsid w:val="001411D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78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7870"/>
    <w:rPr>
      <w:sz w:val="20"/>
      <w:szCs w:val="20"/>
    </w:rPr>
  </w:style>
  <w:style w:type="paragraph" w:customStyle="1" w:styleId="Default">
    <w:name w:val="Default"/>
    <w:rsid w:val="00AC787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AC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774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8515-F2CD-4915-84C5-76F3EDF9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Chris.LIU</dc:creator>
  <cp:lastModifiedBy>劉根維 (Chris.LIU)</cp:lastModifiedBy>
  <cp:revision>11</cp:revision>
  <cp:lastPrinted>2015-08-18T09:55:00Z</cp:lastPrinted>
  <dcterms:created xsi:type="dcterms:W3CDTF">2015-08-18T09:52:00Z</dcterms:created>
  <dcterms:modified xsi:type="dcterms:W3CDTF">2025-08-28T01:44:00Z</dcterms:modified>
</cp:coreProperties>
</file>