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36" w:rsidRDefault="006F666E" w:rsidP="00552854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6F666E">
        <w:rPr>
          <w:rFonts w:ascii="標楷體" w:eastAsia="標楷體" w:hAnsi="標楷體" w:hint="eastAsia"/>
          <w:b/>
          <w:sz w:val="44"/>
          <w:szCs w:val="44"/>
        </w:rPr>
        <w:t>2025年基金投資人宣導文宣系列</w:t>
      </w:r>
    </w:p>
    <w:p w:rsidR="00C00DD2" w:rsidRDefault="006F666E" w:rsidP="006F666E">
      <w:pPr>
        <w:jc w:val="center"/>
        <w:rPr>
          <w:rFonts w:ascii="標楷體" w:eastAsia="標楷體" w:hAnsi="標楷體" w:cs="Microsoft YaHei"/>
          <w:color w:val="000000" w:themeColor="text1"/>
          <w:sz w:val="32"/>
          <w:szCs w:val="32"/>
        </w:rPr>
      </w:pPr>
      <w:bookmarkStart w:id="0" w:name="_GoBack"/>
      <w:bookmarkEnd w:id="0"/>
      <w:r w:rsidRPr="006F666E">
        <w:rPr>
          <w:rFonts w:ascii="標楷體" w:eastAsia="標楷體" w:hAnsi="標楷體" w:cs="Microsoft YaHei"/>
          <w:color w:val="000000" w:themeColor="text1"/>
          <w:sz w:val="32"/>
          <w:szCs w:val="32"/>
        </w:rPr>
        <w:drawing>
          <wp:inline distT="0" distB="0" distL="0" distR="0" wp14:anchorId="305DF1BA" wp14:editId="15063D36">
            <wp:extent cx="5474557" cy="3541792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7735" cy="354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66E" w:rsidRDefault="006F666E" w:rsidP="006F666E">
      <w:pPr>
        <w:pStyle w:val="a5"/>
        <w:numPr>
          <w:ilvl w:val="0"/>
          <w:numId w:val="5"/>
        </w:numPr>
        <w:snapToGrid w:val="0"/>
        <w:ind w:leftChars="0"/>
        <w:rPr>
          <w:rFonts w:ascii="Calibri" w:eastAsia="微軟正黑體" w:hAnsi="Calibri" w:cs="Calibri"/>
          <w:color w:val="000000" w:themeColor="text1"/>
          <w:szCs w:val="24"/>
        </w:rPr>
      </w:pPr>
      <w:r w:rsidRPr="006F666E">
        <w:rPr>
          <w:rFonts w:ascii="Calibri" w:eastAsia="微軟正黑體" w:hAnsi="Calibri" w:cs="Calibri"/>
          <w:color w:val="000000" w:themeColor="text1"/>
          <w:szCs w:val="24"/>
        </w:rPr>
        <w:t>網址</w:t>
      </w:r>
      <w:hyperlink r:id="rId9" w:history="1">
        <w:r w:rsidRPr="00DE7B9E">
          <w:rPr>
            <w:rStyle w:val="a6"/>
            <w:rFonts w:ascii="Calibri" w:eastAsia="微軟正黑體" w:hAnsi="Calibri" w:cs="Calibri"/>
            <w:szCs w:val="24"/>
          </w:rPr>
          <w:t>https://www.sfi.org.tw/News?id=1412</w:t>
        </w:r>
      </w:hyperlink>
    </w:p>
    <w:p w:rsidR="006F666E" w:rsidRPr="006F666E" w:rsidRDefault="006F666E" w:rsidP="006F666E">
      <w:pPr>
        <w:snapToGrid w:val="0"/>
        <w:jc w:val="center"/>
        <w:rPr>
          <w:rFonts w:ascii="Calibri" w:eastAsia="微軟正黑體" w:hAnsi="Calibri" w:cs="Calibri"/>
          <w:color w:val="000000" w:themeColor="text1"/>
          <w:szCs w:val="24"/>
        </w:rPr>
      </w:pPr>
    </w:p>
    <w:p w:rsidR="006F666E" w:rsidRPr="006F666E" w:rsidRDefault="006F666E" w:rsidP="006F666E">
      <w:pPr>
        <w:snapToGrid w:val="0"/>
        <w:ind w:leftChars="472" w:left="1134" w:hanging="1"/>
        <w:rPr>
          <w:rFonts w:ascii="Calibri" w:eastAsia="微軟正黑體" w:hAnsi="Calibri" w:cs="Calibri"/>
          <w:color w:val="000000" w:themeColor="text1"/>
          <w:szCs w:val="24"/>
        </w:rPr>
      </w:pP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1.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共同基金與其他金融商品之比較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 xml:space="preserve"> (</w:t>
      </w:r>
      <w:hyperlink r:id="rId10" w:tgtFrame="_blank" w:tooltip="共同基金與其他金融商品之比較" w:history="1"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PDF</w:t>
        </w:r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下</w:t>
        </w:r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載</w:t>
        </w:r>
      </w:hyperlink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)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br/>
        <w:t>2.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基金投資交易策略與風險須知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 (</w:t>
      </w:r>
      <w:hyperlink r:id="rId11" w:tgtFrame="_blank" w:tooltip="基金投資交易策略與風險須知" w:history="1"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PDF</w:t>
        </w:r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下載</w:t>
        </w:r>
      </w:hyperlink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)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br/>
        <w:t>3.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利用共同基金，規劃退休人生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 (</w:t>
      </w:r>
      <w:hyperlink r:id="rId12" w:tgtFrame="_blank" w:tooltip="利用共同基金，規劃退休人生" w:history="1"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PDF</w:t>
        </w:r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下載</w:t>
        </w:r>
      </w:hyperlink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)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br/>
        <w:t>4.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投資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 xml:space="preserve">ETF 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手握世界</w:t>
      </w:r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 (</w:t>
      </w:r>
      <w:hyperlink r:id="rId13" w:tgtFrame="_blank" w:tooltip="投資ETF 手握世界" w:history="1"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PDF</w:t>
        </w:r>
        <w:r w:rsidRPr="006F666E">
          <w:rPr>
            <w:rStyle w:val="a6"/>
            <w:rFonts w:ascii="Calibri" w:eastAsia="微軟正黑體" w:hAnsi="Calibri" w:cs="Calibri"/>
            <w:color w:val="0D6EFD"/>
            <w:spacing w:val="12"/>
            <w:szCs w:val="24"/>
            <w:shd w:val="clear" w:color="auto" w:fill="FFFFFF"/>
          </w:rPr>
          <w:t>下載</w:t>
        </w:r>
      </w:hyperlink>
      <w:r w:rsidRPr="006F666E">
        <w:rPr>
          <w:rFonts w:ascii="Calibri" w:eastAsia="微軟正黑體" w:hAnsi="Calibri" w:cs="Calibri"/>
          <w:color w:val="7143BC"/>
          <w:spacing w:val="12"/>
          <w:szCs w:val="24"/>
          <w:shd w:val="clear" w:color="auto" w:fill="FFFFFF"/>
        </w:rPr>
        <w:t>)</w:t>
      </w:r>
    </w:p>
    <w:sectPr w:rsidR="006F666E" w:rsidRPr="006F666E" w:rsidSect="004E043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70" w:rsidRDefault="00AC7870" w:rsidP="00AC7870">
      <w:r>
        <w:separator/>
      </w:r>
    </w:p>
  </w:endnote>
  <w:endnote w:type="continuationSeparator" w:id="0">
    <w:p w:rsidR="00AC7870" w:rsidRDefault="00AC7870" w:rsidP="00AC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70" w:rsidRDefault="00AC7870" w:rsidP="00AC7870">
      <w:r>
        <w:separator/>
      </w:r>
    </w:p>
  </w:footnote>
  <w:footnote w:type="continuationSeparator" w:id="0">
    <w:p w:rsidR="00AC7870" w:rsidRDefault="00AC7870" w:rsidP="00AC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4210"/>
    <w:multiLevelType w:val="hybridMultilevel"/>
    <w:tmpl w:val="4F921A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4A5B26"/>
    <w:multiLevelType w:val="hybridMultilevel"/>
    <w:tmpl w:val="0A8E3B0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EC20CC6"/>
    <w:multiLevelType w:val="hybridMultilevel"/>
    <w:tmpl w:val="89AC25B4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4F4D0BA3"/>
    <w:multiLevelType w:val="hybridMultilevel"/>
    <w:tmpl w:val="294ED994"/>
    <w:lvl w:ilvl="0" w:tplc="2D08071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B5612E"/>
    <w:multiLevelType w:val="hybridMultilevel"/>
    <w:tmpl w:val="6AD631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54"/>
    <w:rsid w:val="001411D9"/>
    <w:rsid w:val="00205EF6"/>
    <w:rsid w:val="00420B6A"/>
    <w:rsid w:val="004E0436"/>
    <w:rsid w:val="00552854"/>
    <w:rsid w:val="006F666E"/>
    <w:rsid w:val="007747E6"/>
    <w:rsid w:val="007E2DE2"/>
    <w:rsid w:val="00AC7870"/>
    <w:rsid w:val="00B96EA4"/>
    <w:rsid w:val="00C00DD2"/>
    <w:rsid w:val="00D6266B"/>
    <w:rsid w:val="00DC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6700D5"/>
  <w15:docId w15:val="{FD7DD147-2A3F-431D-A431-A86A6561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528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E0436"/>
    <w:pPr>
      <w:ind w:leftChars="200" w:left="480"/>
    </w:pPr>
  </w:style>
  <w:style w:type="character" w:styleId="a6">
    <w:name w:val="Hyperlink"/>
    <w:basedOn w:val="a0"/>
    <w:uiPriority w:val="99"/>
    <w:unhideWhenUsed/>
    <w:rsid w:val="001411D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C787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C78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C7870"/>
    <w:rPr>
      <w:sz w:val="20"/>
      <w:szCs w:val="20"/>
    </w:rPr>
  </w:style>
  <w:style w:type="paragraph" w:customStyle="1" w:styleId="Default">
    <w:name w:val="Default"/>
    <w:rsid w:val="00AC787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styleId="ab">
    <w:name w:val="Table Grid"/>
    <w:basedOn w:val="a1"/>
    <w:uiPriority w:val="59"/>
    <w:rsid w:val="00AC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774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line.sfi.org.tw/download/resh_ftp/amedfund/20250826/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line.sfi.org.tw/download/resh_ftp/amedfund/20250826/0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line.sfi.org.tw/download/resh_ftp/amedfund/20250826/0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line.sfi.org.tw/download/resh_ftp/amedfund/20250826/0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fi.org.tw/News?id=14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00B2-93DC-42E4-BA01-68D066F6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Chris.LIU</dc:creator>
  <cp:lastModifiedBy>劉根維 (Chris.LIU)</cp:lastModifiedBy>
  <cp:revision>11</cp:revision>
  <cp:lastPrinted>2015-08-18T09:55:00Z</cp:lastPrinted>
  <dcterms:created xsi:type="dcterms:W3CDTF">2015-08-18T09:52:00Z</dcterms:created>
  <dcterms:modified xsi:type="dcterms:W3CDTF">2025-11-13T01:35:00Z</dcterms:modified>
</cp:coreProperties>
</file>