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900" w:rsidRPr="00DF6900" w:rsidRDefault="00DF6900" w:rsidP="005B2381">
      <w:pPr>
        <w:jc w:val="center"/>
        <w:rPr>
          <w:rFonts w:ascii="Arial Narrow" w:eastAsia="標楷體" w:hAnsi="Arial Narrow"/>
          <w:b/>
          <w:sz w:val="44"/>
          <w:szCs w:val="44"/>
        </w:rPr>
      </w:pPr>
      <w:r w:rsidRPr="00DF6900">
        <w:rPr>
          <w:rFonts w:ascii="Arial Narrow" w:eastAsia="標楷體" w:hAnsi="Arial Narrow"/>
          <w:b/>
          <w:sz w:val="44"/>
          <w:szCs w:val="44"/>
        </w:rPr>
        <w:t>財團法人中華民國證券櫃檯買賣中心</w:t>
      </w:r>
    </w:p>
    <w:p w:rsidR="00C21A7A" w:rsidRPr="00DF6900" w:rsidRDefault="00DF6900" w:rsidP="005B2381">
      <w:pPr>
        <w:jc w:val="center"/>
        <w:rPr>
          <w:rFonts w:ascii="Arial Narrow" w:eastAsia="標楷體" w:hAnsi="Arial Narrow"/>
          <w:b/>
          <w:sz w:val="44"/>
          <w:szCs w:val="44"/>
        </w:rPr>
      </w:pPr>
      <w:r w:rsidRPr="00DF6900">
        <w:rPr>
          <w:rFonts w:ascii="Arial Narrow" w:eastAsia="標楷體" w:hAnsi="Arial Narrow"/>
          <w:b/>
          <w:sz w:val="44"/>
          <w:szCs w:val="44"/>
        </w:rPr>
        <w:t>「</w:t>
      </w:r>
      <w:r w:rsidRPr="00DF6900">
        <w:rPr>
          <w:rFonts w:ascii="Arial Narrow" w:eastAsia="標楷體" w:hAnsi="Arial Narrow"/>
          <w:b/>
          <w:sz w:val="44"/>
          <w:szCs w:val="44"/>
        </w:rPr>
        <w:t xml:space="preserve">114 </w:t>
      </w:r>
      <w:r w:rsidRPr="00DF6900">
        <w:rPr>
          <w:rFonts w:ascii="Arial Narrow" w:eastAsia="標楷體" w:hAnsi="Arial Narrow"/>
          <w:b/>
          <w:sz w:val="44"/>
          <w:szCs w:val="44"/>
        </w:rPr>
        <w:t>年度防制金融投資</w:t>
      </w:r>
      <w:proofErr w:type="gramStart"/>
      <w:r w:rsidRPr="00DF6900">
        <w:rPr>
          <w:rFonts w:ascii="Arial Narrow" w:eastAsia="標楷體" w:hAnsi="Arial Narrow"/>
          <w:b/>
          <w:sz w:val="44"/>
          <w:szCs w:val="44"/>
        </w:rPr>
        <w:t>詐騙線上遊戲</w:t>
      </w:r>
      <w:proofErr w:type="gramEnd"/>
      <w:r w:rsidRPr="00DF6900">
        <w:rPr>
          <w:rFonts w:ascii="Arial Narrow" w:eastAsia="標楷體" w:hAnsi="Arial Narrow"/>
          <w:b/>
          <w:sz w:val="44"/>
          <w:szCs w:val="44"/>
        </w:rPr>
        <w:t>獎勵活動」</w:t>
      </w:r>
    </w:p>
    <w:p w:rsidR="005B2381" w:rsidRPr="00DF6900" w:rsidRDefault="005B2381" w:rsidP="005B2381">
      <w:pPr>
        <w:jc w:val="center"/>
        <w:rPr>
          <w:rFonts w:ascii="Calibri" w:eastAsia="標楷體" w:hAnsi="Calibri" w:cs="Calibri"/>
          <w:sz w:val="44"/>
          <w:szCs w:val="44"/>
        </w:rPr>
      </w:pPr>
    </w:p>
    <w:p w:rsidR="005B2381" w:rsidRPr="00DF6900" w:rsidRDefault="00DF6900" w:rsidP="00DF6900">
      <w:pPr>
        <w:autoSpaceDE w:val="0"/>
        <w:autoSpaceDN w:val="0"/>
        <w:adjustRightInd w:val="0"/>
        <w:jc w:val="both"/>
        <w:rPr>
          <w:rFonts w:ascii="Calibri" w:eastAsia="標楷體" w:hAnsi="Calibri" w:cs="Calibri"/>
          <w:kern w:val="0"/>
          <w:sz w:val="32"/>
          <w:szCs w:val="32"/>
        </w:rPr>
      </w:pPr>
      <w:r w:rsidRPr="00DF6900">
        <w:rPr>
          <w:rFonts w:ascii="Calibri" w:eastAsia="標楷體" w:hAnsi="Calibri" w:cs="Calibri"/>
          <w:kern w:val="0"/>
          <w:sz w:val="32"/>
          <w:szCs w:val="32"/>
        </w:rPr>
        <w:t>為強化民眾防詐意識，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財團法人中華民國證券櫃檯買賣中心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訂於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114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年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9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月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22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日至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11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月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16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日舉辦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「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 xml:space="preserve">114 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年度防制金融投資</w:t>
      </w:r>
      <w:proofErr w:type="gramStart"/>
      <w:r w:rsidRPr="00DF6900">
        <w:rPr>
          <w:rFonts w:ascii="Calibri" w:eastAsia="標楷體" w:hAnsi="Calibri" w:cs="Calibri"/>
          <w:kern w:val="0"/>
          <w:sz w:val="32"/>
          <w:szCs w:val="32"/>
        </w:rPr>
        <w:t>詐騙線上遊戲</w:t>
      </w:r>
      <w:proofErr w:type="gramEnd"/>
      <w:r w:rsidRPr="00DF6900">
        <w:rPr>
          <w:rFonts w:ascii="Calibri" w:eastAsia="標楷體" w:hAnsi="Calibri" w:cs="Calibri"/>
          <w:kern w:val="0"/>
          <w:sz w:val="32"/>
          <w:szCs w:val="32"/>
        </w:rPr>
        <w:t>獎勵活動」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，活動網址</w:t>
      </w:r>
      <w:r w:rsidRPr="00DF6900">
        <w:rPr>
          <w:rFonts w:ascii="Calibri" w:eastAsia="標楷體" w:hAnsi="Calibri" w:cs="Calibri"/>
          <w:kern w:val="0"/>
          <w:sz w:val="32"/>
          <w:szCs w:val="32"/>
        </w:rPr>
        <w:t>如下，歡迎民眾參與。</w:t>
      </w:r>
    </w:p>
    <w:p w:rsidR="00DF6900" w:rsidRPr="00DF6900" w:rsidRDefault="00DF6900" w:rsidP="005B2381">
      <w:pPr>
        <w:autoSpaceDE w:val="0"/>
        <w:autoSpaceDN w:val="0"/>
        <w:adjustRightInd w:val="0"/>
        <w:jc w:val="both"/>
        <w:rPr>
          <w:rFonts w:ascii="Calibri" w:eastAsia="標楷體" w:hAnsi="Calibri" w:cs="Calibri"/>
          <w:kern w:val="0"/>
          <w:sz w:val="30"/>
          <w:szCs w:val="30"/>
        </w:rPr>
      </w:pPr>
    </w:p>
    <w:p w:rsidR="00DF6900" w:rsidRPr="00DF6900" w:rsidRDefault="00DF6900" w:rsidP="00DF6900">
      <w:pPr>
        <w:autoSpaceDE w:val="0"/>
        <w:autoSpaceDN w:val="0"/>
        <w:adjustRightInd w:val="0"/>
        <w:jc w:val="both"/>
        <w:rPr>
          <w:rFonts w:ascii="Calibri" w:eastAsia="標楷體" w:hAnsi="Calibri" w:cs="Calibri"/>
          <w:sz w:val="26"/>
          <w:szCs w:val="26"/>
        </w:rPr>
      </w:pPr>
      <w:r w:rsidRPr="00DF6900">
        <w:rPr>
          <w:rFonts w:ascii="Calibri" w:eastAsia="標楷體" w:hAnsi="Calibri" w:cs="Calibri"/>
          <w:sz w:val="26"/>
          <w:szCs w:val="26"/>
        </w:rPr>
        <w:t>活動網頁：</w:t>
      </w:r>
      <w:hyperlink r:id="rId4" w:history="1">
        <w:r w:rsidRPr="00DF6900">
          <w:rPr>
            <w:rStyle w:val="a3"/>
            <w:rFonts w:ascii="Calibri" w:eastAsia="標楷體" w:hAnsi="Calibri" w:cs="Calibri"/>
            <w:sz w:val="26"/>
            <w:szCs w:val="26"/>
          </w:rPr>
          <w:t>http://brandstudio.tnlmedia.com/2025/TPEx/Anti-Deception/index.htm</w:t>
        </w:r>
      </w:hyperlink>
    </w:p>
    <w:p w:rsidR="00DF6900" w:rsidRPr="00DF6900" w:rsidRDefault="00DF6900" w:rsidP="00DF6900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4"/>
        </w:rPr>
      </w:pPr>
    </w:p>
    <w:p w:rsidR="00DF6900" w:rsidRPr="005B2381" w:rsidRDefault="00DF6900" w:rsidP="00DF6900">
      <w:pPr>
        <w:autoSpaceDE w:val="0"/>
        <w:autoSpaceDN w:val="0"/>
        <w:adjustRightInd w:val="0"/>
        <w:jc w:val="both"/>
        <w:rPr>
          <w:rFonts w:ascii="標楷體" w:eastAsia="標楷體" w:hAnsi="標楷體" w:hint="eastAsia"/>
          <w:sz w:val="30"/>
          <w:szCs w:val="30"/>
        </w:rPr>
      </w:pPr>
      <w:bookmarkStart w:id="0" w:name="_GoBack"/>
      <w:r>
        <w:rPr>
          <w:noProof/>
        </w:rPr>
        <w:drawing>
          <wp:inline distT="0" distB="0" distL="0" distR="0">
            <wp:extent cx="6120130" cy="4484392"/>
            <wp:effectExtent l="0" t="0" r="0" b="0"/>
            <wp:docPr id="2" name="圖片 2" descr="C:\Users\chris.liu.TCB-AM\AppData\Local\Microsoft\Windows\INetCache\Content.Word\EB533105730000000_1149B01277_1_2316325238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.liu.TCB-AM\AppData\Local\Microsoft\Windows\INetCache\Content.Word\EB533105730000000_1149B01277_1_231632523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8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6900" w:rsidRPr="005B2381" w:rsidSect="005B238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87C"/>
    <w:rsid w:val="005B2381"/>
    <w:rsid w:val="00AE087C"/>
    <w:rsid w:val="00C21A7A"/>
    <w:rsid w:val="00DF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8DDEF"/>
  <w15:chartTrackingRefBased/>
  <w15:docId w15:val="{240B5CEB-3FF3-4C99-94C6-288DFE880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69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brandstudio.tnlmedia.com/2025/TPEx/Anti-Deception/index.h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劉根維 (Chris.LIU)</dc:creator>
  <cp:keywords/>
  <dc:description/>
  <cp:lastModifiedBy>劉根維 (Chris.LIU)</cp:lastModifiedBy>
  <cp:revision>3</cp:revision>
  <dcterms:created xsi:type="dcterms:W3CDTF">2025-08-28T02:07:00Z</dcterms:created>
  <dcterms:modified xsi:type="dcterms:W3CDTF">2025-09-26T01:03:00Z</dcterms:modified>
</cp:coreProperties>
</file>